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B8B" w:rsidRDefault="00691B8B" w:rsidP="00691B8B">
      <w:pPr>
        <w:pStyle w:val="a3"/>
        <w:jc w:val="right"/>
        <w:rPr>
          <w:color w:val="000000"/>
        </w:rPr>
      </w:pPr>
      <w:r>
        <w:rPr>
          <w:color w:val="000000"/>
        </w:rPr>
        <w:t> </w:t>
      </w:r>
      <w:bookmarkStart w:id="0" w:name="_GoBack"/>
      <w:bookmarkEnd w:id="0"/>
      <w:r>
        <w:rPr>
          <w:rStyle w:val="a4"/>
          <w:color w:val="000000"/>
        </w:rPr>
        <w:t xml:space="preserve">По </w:t>
      </w:r>
      <w:hyperlink r:id="rId5" w:history="1">
        <w:r>
          <w:rPr>
            <w:rStyle w:val="a5"/>
            <w:i/>
            <w:iCs/>
          </w:rPr>
          <w:t>материалам</w:t>
        </w:r>
      </w:hyperlink>
      <w:r>
        <w:rPr>
          <w:rStyle w:val="a4"/>
          <w:color w:val="000000"/>
        </w:rPr>
        <w:t xml:space="preserve"> с сайта «ЗДОРОВОЕ ПИТАНИЕ» (https://здоровое-питание.рф)</w:t>
      </w:r>
    </w:p>
    <w:p w:rsidR="00691B8B" w:rsidRPr="00691B8B" w:rsidRDefault="00691B8B" w:rsidP="00691B8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691B8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Как измерить здоровье</w:t>
      </w:r>
    </w:p>
    <w:p w:rsidR="00691B8B" w:rsidRPr="00691B8B" w:rsidRDefault="00691B8B" w:rsidP="00691B8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691B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Не забывайте контролировать самые важные показатели состояния вашего орг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</w:t>
      </w:r>
      <w:r w:rsidRPr="00691B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низма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!!!</w:t>
      </w:r>
    </w:p>
    <w:p w:rsidR="00691B8B" w:rsidRPr="00691B8B" w:rsidRDefault="00691B8B" w:rsidP="00691B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Pixaba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Pixabay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" filled="f" stroked="f">
                <o:lock v:ext="edit" aspectratio="t"/>
                <w10:anchorlock/>
              </v:rect>
            </w:pict>
          </mc:Fallback>
        </mc:AlternateContent>
      </w:r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Высота артериального давления, уровень холестерина и глюкозы в крови, вес и даже продолжительность сна – показатели, зависящие от питания и позволяющие «измерить» ваше здоровье. Рассмотрим, какие данные свидетельствуют о нарушениях в организме и что нужно предпринять, чтобы исправить ситуацию. </w:t>
      </w:r>
    </w:p>
    <w:p w:rsidR="00691B8B" w:rsidRPr="00691B8B" w:rsidRDefault="00691B8B" w:rsidP="00691B8B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данным Всемирной организации здравоохранения (ВОЗ), нормальное артериальное давление у взрослых людей определяется на уровне 120 мм ртутного столба в момент сокращения сердца (систолическое) и на уровне 80 мм в момент его расслабления (диастолическое). Уже при значениях 140/90 давление считается высоким. Американская кардиологическая ассоциация предлагает следующую классификацию: нормальное давление (ниже 120/80), повышенное давление (120-129/ниже 80), высокое давление первой стадии (130-139/80-89), высокое давление второй стадии (140/90), гипертонический криз (выше 180/и (или) свыше 120).</w:t>
      </w:r>
    </w:p>
    <w:p w:rsidR="00691B8B" w:rsidRPr="00691B8B" w:rsidRDefault="00691B8B" w:rsidP="00691B8B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ВАЖНО ЗНАТЬ!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Гипертония, или повышенное артериальное давление, может протекать при отсутствии симптомов. При ее обнаружении необходима консультация врача. Потеря каждых 5 кг лишнего веса может способствовать снижению систолического артериального давления на 2-10 пунктов.</w:t>
      </w:r>
    </w:p>
    <w:p w:rsidR="00691B8B" w:rsidRPr="00691B8B" w:rsidRDefault="00691B8B" w:rsidP="00691B8B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B8B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Для нормализации давления иногда достаточно изменить образ жизни, регулярно соблюдать принципы здорового питания, употреблять не более 5 г соли в день, ежедневно съедать 4–5 порций овощей и зелени; снижать потребление насыщенных жиров, минимизировать алкоголь в рационе, прекратить употреблять табак, иметь регулярную физическую активностью, снизить вес. Здоровый образ жизни повышает и эффективность медикаментозного лечения гипертонии. </w:t>
      </w:r>
    </w:p>
    <w:p w:rsidR="00691B8B" w:rsidRPr="00691B8B" w:rsidRDefault="00691B8B" w:rsidP="00691B8B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Холестерин – жизненно важный «строительный» материал, придающий упругость и прочность клеточным мембранам. Переизбыток «плохого» холестерина  опасен для здоровья. При низком или высоком уровнях холестерина нужно обратиться к врачу, откорректировать рацион питания, соблюдать медицинские рекомендации, проверять уровень холестерина не реже двух раз в год.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ВАЖНО ЗНАТЬ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Нормальные показатели холестерина: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 xml:space="preserve">Общий холестерин – 5 </w:t>
      </w:r>
      <w:proofErr w:type="spellStart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ммоль</w:t>
      </w:r>
      <w:proofErr w:type="spellEnd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/л; 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lastRenderedPageBreak/>
        <w:t xml:space="preserve">Холестерин ЛПНП («плохой» холестерин) – менее 3,0 </w:t>
      </w:r>
      <w:proofErr w:type="spellStart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ммоль</w:t>
      </w:r>
      <w:proofErr w:type="spellEnd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/л; 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 xml:space="preserve">Холестерин ЛПВП («хороший» холестерин) – более 1,2 </w:t>
      </w:r>
      <w:proofErr w:type="spellStart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ммоль</w:t>
      </w:r>
      <w:proofErr w:type="spellEnd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 xml:space="preserve">/л для женщин и более 1,0 </w:t>
      </w:r>
      <w:proofErr w:type="spellStart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ммоль</w:t>
      </w:r>
      <w:proofErr w:type="spellEnd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/л для мужчин; 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 xml:space="preserve">Триглицериды – менее 1,7 </w:t>
      </w:r>
      <w:proofErr w:type="spellStart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ммоль</w:t>
      </w:r>
      <w:proofErr w:type="spellEnd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/л. 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 xml:space="preserve">Высокий уровень холестерина – от 5 до 6,4 </w:t>
      </w:r>
      <w:proofErr w:type="spellStart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ммоль</w:t>
      </w:r>
      <w:proofErr w:type="spellEnd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/л и более. 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 xml:space="preserve">Рисковый уровень холестерина – 6,4 </w:t>
      </w:r>
      <w:proofErr w:type="spellStart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ммоль</w:t>
      </w:r>
      <w:proofErr w:type="spellEnd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/л и более.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Пониженный уровень: 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 xml:space="preserve">Общий холестерин – менее 5-4,5 </w:t>
      </w:r>
      <w:proofErr w:type="spellStart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ммоль</w:t>
      </w:r>
      <w:proofErr w:type="spellEnd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/л;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 xml:space="preserve">Холестерин ЛПНП – менее 2,5 – 1,8 </w:t>
      </w:r>
      <w:proofErr w:type="spellStart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ммоль</w:t>
      </w:r>
      <w:proofErr w:type="spellEnd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/л.</w:t>
      </w:r>
    </w:p>
    <w:p w:rsidR="00691B8B" w:rsidRPr="00691B8B" w:rsidRDefault="00691B8B" w:rsidP="00691B8B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B8B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Уровень глюкозы или «сахара» в крови — индикатор состояний </w:t>
      </w:r>
      <w:proofErr w:type="spellStart"/>
      <w:r w:rsidRPr="00691B8B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преддиабета</w:t>
      </w:r>
      <w:proofErr w:type="spellEnd"/>
      <w:r w:rsidRPr="00691B8B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и диабета. Уровни «сахара» в крови могут иметь индивидуальную интерпретацию. Если данные отклоняются от нормы, пройдите углублённое обследование.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ВАЖНО ЗНАТЬ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Рекомендуемые уровни глюкозы в крови натощак для здорового человека (не имеющего диабета):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 xml:space="preserve">1. младенцы до месяца – 2,8-4,4 </w:t>
      </w:r>
      <w:proofErr w:type="spellStart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ммоль</w:t>
      </w:r>
      <w:proofErr w:type="spellEnd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/л;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 xml:space="preserve">2. дети 1 месяц – 14 лет – 3,3-5,6 </w:t>
      </w:r>
      <w:proofErr w:type="spellStart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ммоль</w:t>
      </w:r>
      <w:proofErr w:type="spellEnd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/л;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 xml:space="preserve">3. взрослые – 4,0-5,9 </w:t>
      </w:r>
      <w:proofErr w:type="spellStart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ммоль</w:t>
      </w:r>
      <w:proofErr w:type="spellEnd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/л;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 xml:space="preserve">4. пожилые, женщины в период беременности – 4,6-6,7 </w:t>
      </w:r>
      <w:proofErr w:type="spellStart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ммоль</w:t>
      </w:r>
      <w:proofErr w:type="spellEnd"/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/л. </w:t>
      </w:r>
    </w:p>
    <w:p w:rsidR="00691B8B" w:rsidRPr="00691B8B" w:rsidRDefault="00691B8B" w:rsidP="00691B8B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B8B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Для поддержания здоровья взрослому человеку необходимо 7–9 часов регулярного непрерывного ночного сна. Хронический недосып – одна из причин ухудшения обмена веществ, набора лишнего веса, снижения физических показателей, усталости, развития диабета, гипертонии, болезней сердца, депрессии.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ВАЖНО ЗНАТЬ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1. Рекомендуемая продолжительность сна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2. дети до года – 14–17 часов (для новорожденных 0-3 месяцев) или 12 – 16 3. часов (для младенцев 4-11 месяцев);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4. дети 1-2 лет – 11-14 часов с постоянным временем отбоя и подъёма;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5. дети 3-4 лет – 10-13 часов с постоянным временем отбоя и подъёма;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lastRenderedPageBreak/>
        <w:t>6. дети и подростки 5-17 лет – 9-11 часов для детей 5–13 лет, 8-10 часов 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7. для подростков 14–17 лет с постоянным временем отбоя и подъёма;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8. взрослые 18-64 лет – 7-9 часов; 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9. взрослые 65 лет и старше – 7-8 часов. </w:t>
      </w:r>
    </w:p>
    <w:p w:rsidR="00691B8B" w:rsidRPr="00691B8B" w:rsidRDefault="00691B8B" w:rsidP="00691B8B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B8B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Негативные последствия недосыпа могут проявляться эмоционально и физически. Однако отчасти их может компенсировать здоровое питание. Плотно поесть можно за 2–3 часа до сна, питаться нужно сбалансированно и регулярно, не петь бодрящие напитки – крепкий чай или кофе, и алкоголь во второй половине дня. К другим способам нормализации сна относится достаточная </w:t>
      </w:r>
      <w:proofErr w:type="spellStart"/>
      <w:r w:rsidRPr="00691B8B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затемненность</w:t>
      </w:r>
      <w:proofErr w:type="spellEnd"/>
      <w:r w:rsidRPr="00691B8B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помещения и температура воздуха (в среднем — 20 °c), отказ от использования мобильного телефона и других гаджетов минимум за час до сна, временной режим сна, прием теплой ванны или душа, массаж, спокойная музыка, дыхательные практики. </w:t>
      </w:r>
    </w:p>
    <w:p w:rsidR="00691B8B" w:rsidRPr="00691B8B" w:rsidRDefault="00691B8B" w:rsidP="00691B8B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Физическая активность – важная составляющая хорошего самочувствия. Недостаток физической активности – один из факторов риска развития таких заболеваний, как инсульт, диабет. Минимальное время физической активности для поддержания здоровья сердца и нормального веса взрослого человека – 30 минут в день. Для детей и подростков это время составляет 60 минут в день. 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поддержания и определения здоровья человека специалисты разработали Индекс массы тела (ИМТ). Это величина соответствия веса и роста взрослого человека (18 лет и старше). ИМТ рассчитывается по формуле: I = m/h2, I = m h 2 {\</w:t>
      </w:r>
      <w:proofErr w:type="spellStart"/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displaystyle</w:t>
      </w:r>
      <w:proofErr w:type="spellEnd"/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I={\</w:t>
      </w:r>
      <w:proofErr w:type="spellStart"/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frac</w:t>
      </w:r>
      <w:proofErr w:type="spellEnd"/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{m}{h^{2}}}} где </w:t>
      </w:r>
      <w:r w:rsidRPr="00691B8B">
        <w:rPr>
          <w:rFonts w:ascii="inherit" w:eastAsia="Times New Roman" w:hAnsi="inherit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m</w:t>
      </w:r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масса тела (</w:t>
      </w:r>
      <w:proofErr w:type="gramStart"/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кг</w:t>
      </w:r>
      <w:proofErr w:type="gramEnd"/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 </w:t>
      </w:r>
      <w:r w:rsidRPr="00691B8B">
        <w:rPr>
          <w:rFonts w:ascii="inherit" w:eastAsia="Times New Roman" w:hAnsi="inherit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h</w:t>
      </w:r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 рост (м). Чем выше ИМТ – тем выше риск развития </w:t>
      </w:r>
      <w:proofErr w:type="gramStart"/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сердечно-сосудистых</w:t>
      </w:r>
      <w:proofErr w:type="gramEnd"/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заболеваний, гипертонии, остеоартрита, диабета, некоторых видов рака, преждевременной смерти. Таким </w:t>
      </w:r>
      <w:proofErr w:type="gramStart"/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образом</w:t>
      </w:r>
      <w:proofErr w:type="gramEnd"/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ИМТ помогает точнее оценить риски для здоровья, связанные с весом человека.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B8B">
        <w:rPr>
          <w:rFonts w:ascii="inherit" w:eastAsia="Times New Roman" w:hAnsi="inherit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 соответствии с рекомендациями ВОЗ показатели ИМТ делятся на группы: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7"/>
        <w:gridCol w:w="4848"/>
      </w:tblGrid>
      <w:tr w:rsidR="00691B8B" w:rsidRPr="00691B8B" w:rsidTr="00691B8B">
        <w:trPr>
          <w:tblCellSpacing w:w="15" w:type="dxa"/>
        </w:trPr>
        <w:tc>
          <w:tcPr>
            <w:tcW w:w="0" w:type="auto"/>
            <w:tcBorders>
              <w:top w:val="single" w:sz="24" w:space="0" w:color="EEEEEE"/>
              <w:left w:val="single" w:sz="24" w:space="0" w:color="EEEEEE"/>
              <w:bottom w:val="single" w:sz="24" w:space="0" w:color="EEEEEE"/>
              <w:right w:val="single" w:sz="24" w:space="0" w:color="EEEEEE"/>
            </w:tcBorders>
            <w:tcMar>
              <w:top w:w="300" w:type="dxa"/>
              <w:left w:w="180" w:type="dxa"/>
              <w:bottom w:w="300" w:type="dxa"/>
              <w:right w:w="180" w:type="dxa"/>
            </w:tcMar>
            <w:vAlign w:val="bottom"/>
            <w:hideMark/>
          </w:tcPr>
          <w:p w:rsidR="00691B8B" w:rsidRPr="00691B8B" w:rsidRDefault="00691B8B" w:rsidP="00691B8B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B8B">
              <w:rPr>
                <w:rFonts w:ascii="inherit" w:eastAsia="Times New Roman" w:hAnsi="inherit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ИМТ</w:t>
            </w:r>
          </w:p>
        </w:tc>
        <w:tc>
          <w:tcPr>
            <w:tcW w:w="0" w:type="auto"/>
            <w:tcBorders>
              <w:top w:val="single" w:sz="24" w:space="0" w:color="EEEEEE"/>
              <w:left w:val="single" w:sz="24" w:space="0" w:color="EEEEEE"/>
              <w:bottom w:val="single" w:sz="24" w:space="0" w:color="EEEEEE"/>
              <w:right w:val="single" w:sz="24" w:space="0" w:color="EEEEEE"/>
            </w:tcBorders>
            <w:tcMar>
              <w:top w:w="300" w:type="dxa"/>
              <w:left w:w="180" w:type="dxa"/>
              <w:bottom w:w="300" w:type="dxa"/>
              <w:right w:w="180" w:type="dxa"/>
            </w:tcMar>
            <w:vAlign w:val="bottom"/>
            <w:hideMark/>
          </w:tcPr>
          <w:p w:rsidR="00691B8B" w:rsidRPr="00691B8B" w:rsidRDefault="00691B8B" w:rsidP="00691B8B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B8B">
              <w:rPr>
                <w:rFonts w:ascii="inherit" w:eastAsia="Times New Roman" w:hAnsi="inherit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Интерпретация значения</w:t>
            </w:r>
          </w:p>
        </w:tc>
      </w:tr>
      <w:tr w:rsidR="00691B8B" w:rsidRPr="00691B8B" w:rsidTr="00691B8B">
        <w:trPr>
          <w:tblCellSpacing w:w="15" w:type="dxa"/>
        </w:trPr>
        <w:tc>
          <w:tcPr>
            <w:tcW w:w="0" w:type="auto"/>
            <w:tcBorders>
              <w:top w:val="single" w:sz="24" w:space="0" w:color="EEEEEE"/>
              <w:left w:val="single" w:sz="24" w:space="0" w:color="EEEEEE"/>
              <w:bottom w:val="single" w:sz="24" w:space="0" w:color="EEEEEE"/>
              <w:right w:val="single" w:sz="24" w:space="0" w:color="EEEEEE"/>
            </w:tcBorders>
            <w:tcMar>
              <w:top w:w="300" w:type="dxa"/>
              <w:left w:w="180" w:type="dxa"/>
              <w:bottom w:w="300" w:type="dxa"/>
              <w:right w:w="180" w:type="dxa"/>
            </w:tcMar>
            <w:vAlign w:val="bottom"/>
            <w:hideMark/>
          </w:tcPr>
          <w:p w:rsidR="00691B8B" w:rsidRPr="00691B8B" w:rsidRDefault="00691B8B" w:rsidP="00691B8B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B8B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менее 18.5</w:t>
            </w:r>
          </w:p>
        </w:tc>
        <w:tc>
          <w:tcPr>
            <w:tcW w:w="0" w:type="auto"/>
            <w:tcBorders>
              <w:top w:val="single" w:sz="24" w:space="0" w:color="EEEEEE"/>
              <w:left w:val="single" w:sz="24" w:space="0" w:color="EEEEEE"/>
              <w:bottom w:val="single" w:sz="24" w:space="0" w:color="EEEEEE"/>
              <w:right w:val="single" w:sz="24" w:space="0" w:color="EEEEEE"/>
            </w:tcBorders>
            <w:tcMar>
              <w:top w:w="300" w:type="dxa"/>
              <w:left w:w="180" w:type="dxa"/>
              <w:bottom w:w="300" w:type="dxa"/>
              <w:right w:w="180" w:type="dxa"/>
            </w:tcMar>
            <w:vAlign w:val="bottom"/>
            <w:hideMark/>
          </w:tcPr>
          <w:p w:rsidR="00691B8B" w:rsidRPr="00691B8B" w:rsidRDefault="00691B8B" w:rsidP="00691B8B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B8B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Недостаточная масса тела </w:t>
            </w:r>
          </w:p>
        </w:tc>
      </w:tr>
      <w:tr w:rsidR="00691B8B" w:rsidRPr="00691B8B" w:rsidTr="00691B8B">
        <w:trPr>
          <w:tblCellSpacing w:w="15" w:type="dxa"/>
        </w:trPr>
        <w:tc>
          <w:tcPr>
            <w:tcW w:w="0" w:type="auto"/>
            <w:tcBorders>
              <w:top w:val="single" w:sz="24" w:space="0" w:color="EEEEEE"/>
              <w:left w:val="single" w:sz="24" w:space="0" w:color="EEEEEE"/>
              <w:bottom w:val="single" w:sz="24" w:space="0" w:color="EEEEEE"/>
              <w:right w:val="single" w:sz="24" w:space="0" w:color="EEEEEE"/>
            </w:tcBorders>
            <w:tcMar>
              <w:top w:w="300" w:type="dxa"/>
              <w:left w:w="180" w:type="dxa"/>
              <w:bottom w:w="300" w:type="dxa"/>
              <w:right w:w="180" w:type="dxa"/>
            </w:tcMar>
            <w:vAlign w:val="bottom"/>
            <w:hideMark/>
          </w:tcPr>
          <w:p w:rsidR="00691B8B" w:rsidRPr="00691B8B" w:rsidRDefault="00691B8B" w:rsidP="00691B8B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B8B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18.5–24.9</w:t>
            </w:r>
          </w:p>
        </w:tc>
        <w:tc>
          <w:tcPr>
            <w:tcW w:w="0" w:type="auto"/>
            <w:tcBorders>
              <w:top w:val="single" w:sz="24" w:space="0" w:color="EEEEEE"/>
              <w:left w:val="single" w:sz="24" w:space="0" w:color="EEEEEE"/>
              <w:bottom w:val="single" w:sz="24" w:space="0" w:color="EEEEEE"/>
              <w:right w:val="single" w:sz="24" w:space="0" w:color="EEEEEE"/>
            </w:tcBorders>
            <w:tcMar>
              <w:top w:w="300" w:type="dxa"/>
              <w:left w:w="180" w:type="dxa"/>
              <w:bottom w:w="300" w:type="dxa"/>
              <w:right w:w="180" w:type="dxa"/>
            </w:tcMar>
            <w:vAlign w:val="bottom"/>
            <w:hideMark/>
          </w:tcPr>
          <w:p w:rsidR="00691B8B" w:rsidRPr="00691B8B" w:rsidRDefault="00691B8B" w:rsidP="00691B8B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B8B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Нормальный вес</w:t>
            </w:r>
          </w:p>
        </w:tc>
      </w:tr>
      <w:tr w:rsidR="00691B8B" w:rsidRPr="00691B8B" w:rsidTr="00691B8B">
        <w:trPr>
          <w:tblCellSpacing w:w="15" w:type="dxa"/>
        </w:trPr>
        <w:tc>
          <w:tcPr>
            <w:tcW w:w="0" w:type="auto"/>
            <w:tcBorders>
              <w:top w:val="single" w:sz="24" w:space="0" w:color="EEEEEE"/>
              <w:left w:val="single" w:sz="24" w:space="0" w:color="EEEEEE"/>
              <w:bottom w:val="single" w:sz="24" w:space="0" w:color="EEEEEE"/>
              <w:right w:val="single" w:sz="24" w:space="0" w:color="EEEEEE"/>
            </w:tcBorders>
            <w:tcMar>
              <w:top w:w="300" w:type="dxa"/>
              <w:left w:w="180" w:type="dxa"/>
              <w:bottom w:w="300" w:type="dxa"/>
              <w:right w:w="180" w:type="dxa"/>
            </w:tcMar>
            <w:vAlign w:val="bottom"/>
            <w:hideMark/>
          </w:tcPr>
          <w:p w:rsidR="00691B8B" w:rsidRPr="00691B8B" w:rsidRDefault="00691B8B" w:rsidP="00691B8B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B8B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25.0–29.9</w:t>
            </w:r>
          </w:p>
        </w:tc>
        <w:tc>
          <w:tcPr>
            <w:tcW w:w="0" w:type="auto"/>
            <w:tcBorders>
              <w:top w:val="single" w:sz="24" w:space="0" w:color="EEEEEE"/>
              <w:left w:val="single" w:sz="24" w:space="0" w:color="EEEEEE"/>
              <w:bottom w:val="single" w:sz="24" w:space="0" w:color="EEEEEE"/>
              <w:right w:val="single" w:sz="24" w:space="0" w:color="EEEEEE"/>
            </w:tcBorders>
            <w:tcMar>
              <w:top w:w="300" w:type="dxa"/>
              <w:left w:w="180" w:type="dxa"/>
              <w:bottom w:w="300" w:type="dxa"/>
              <w:right w:w="180" w:type="dxa"/>
            </w:tcMar>
            <w:vAlign w:val="bottom"/>
            <w:hideMark/>
          </w:tcPr>
          <w:p w:rsidR="00691B8B" w:rsidRPr="00691B8B" w:rsidRDefault="00691B8B" w:rsidP="00691B8B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B8B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Избыточная масса тела (</w:t>
            </w:r>
            <w:proofErr w:type="spellStart"/>
            <w:r w:rsidRPr="00691B8B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предожирение</w:t>
            </w:r>
            <w:proofErr w:type="spellEnd"/>
            <w:r w:rsidRPr="00691B8B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) </w:t>
            </w:r>
          </w:p>
        </w:tc>
      </w:tr>
      <w:tr w:rsidR="00691B8B" w:rsidRPr="00691B8B" w:rsidTr="00691B8B">
        <w:trPr>
          <w:tblCellSpacing w:w="15" w:type="dxa"/>
        </w:trPr>
        <w:tc>
          <w:tcPr>
            <w:tcW w:w="0" w:type="auto"/>
            <w:tcBorders>
              <w:top w:val="single" w:sz="24" w:space="0" w:color="EEEEEE"/>
              <w:left w:val="single" w:sz="24" w:space="0" w:color="EEEEEE"/>
              <w:bottom w:val="single" w:sz="24" w:space="0" w:color="EEEEEE"/>
              <w:right w:val="single" w:sz="24" w:space="0" w:color="EEEEEE"/>
            </w:tcBorders>
            <w:tcMar>
              <w:top w:w="300" w:type="dxa"/>
              <w:left w:w="180" w:type="dxa"/>
              <w:bottom w:w="300" w:type="dxa"/>
              <w:right w:w="180" w:type="dxa"/>
            </w:tcMar>
            <w:vAlign w:val="bottom"/>
            <w:hideMark/>
          </w:tcPr>
          <w:p w:rsidR="00691B8B" w:rsidRPr="00691B8B" w:rsidRDefault="00691B8B" w:rsidP="00691B8B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B8B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30.0–34.9</w:t>
            </w:r>
          </w:p>
        </w:tc>
        <w:tc>
          <w:tcPr>
            <w:tcW w:w="0" w:type="auto"/>
            <w:tcBorders>
              <w:top w:val="single" w:sz="24" w:space="0" w:color="EEEEEE"/>
              <w:left w:val="single" w:sz="24" w:space="0" w:color="EEEEEE"/>
              <w:bottom w:val="single" w:sz="24" w:space="0" w:color="EEEEEE"/>
              <w:right w:val="single" w:sz="24" w:space="0" w:color="EEEEEE"/>
            </w:tcBorders>
            <w:tcMar>
              <w:top w:w="300" w:type="dxa"/>
              <w:left w:w="180" w:type="dxa"/>
              <w:bottom w:w="300" w:type="dxa"/>
              <w:right w:w="180" w:type="dxa"/>
            </w:tcMar>
            <w:vAlign w:val="bottom"/>
            <w:hideMark/>
          </w:tcPr>
          <w:p w:rsidR="00691B8B" w:rsidRPr="00691B8B" w:rsidRDefault="00691B8B" w:rsidP="00691B8B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B8B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Ожирение I степени </w:t>
            </w:r>
          </w:p>
        </w:tc>
      </w:tr>
      <w:tr w:rsidR="00691B8B" w:rsidRPr="00691B8B" w:rsidTr="00691B8B">
        <w:trPr>
          <w:tblCellSpacing w:w="15" w:type="dxa"/>
        </w:trPr>
        <w:tc>
          <w:tcPr>
            <w:tcW w:w="0" w:type="auto"/>
            <w:tcBorders>
              <w:top w:val="single" w:sz="24" w:space="0" w:color="EEEEEE"/>
              <w:left w:val="single" w:sz="24" w:space="0" w:color="EEEEEE"/>
              <w:bottom w:val="single" w:sz="24" w:space="0" w:color="EEEEEE"/>
              <w:right w:val="single" w:sz="24" w:space="0" w:color="EEEEEE"/>
            </w:tcBorders>
            <w:tcMar>
              <w:top w:w="300" w:type="dxa"/>
              <w:left w:w="180" w:type="dxa"/>
              <w:bottom w:w="300" w:type="dxa"/>
              <w:right w:w="180" w:type="dxa"/>
            </w:tcMar>
            <w:vAlign w:val="bottom"/>
            <w:hideMark/>
          </w:tcPr>
          <w:p w:rsidR="00691B8B" w:rsidRPr="00691B8B" w:rsidRDefault="00691B8B" w:rsidP="00691B8B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B8B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35.0–39.9</w:t>
            </w:r>
          </w:p>
        </w:tc>
        <w:tc>
          <w:tcPr>
            <w:tcW w:w="0" w:type="auto"/>
            <w:tcBorders>
              <w:top w:val="single" w:sz="24" w:space="0" w:color="EEEEEE"/>
              <w:left w:val="single" w:sz="24" w:space="0" w:color="EEEEEE"/>
              <w:bottom w:val="single" w:sz="24" w:space="0" w:color="EEEEEE"/>
              <w:right w:val="single" w:sz="24" w:space="0" w:color="EEEEEE"/>
            </w:tcBorders>
            <w:tcMar>
              <w:top w:w="300" w:type="dxa"/>
              <w:left w:w="180" w:type="dxa"/>
              <w:bottom w:w="300" w:type="dxa"/>
              <w:right w:w="180" w:type="dxa"/>
            </w:tcMar>
            <w:vAlign w:val="bottom"/>
            <w:hideMark/>
          </w:tcPr>
          <w:p w:rsidR="00691B8B" w:rsidRPr="00691B8B" w:rsidRDefault="00691B8B" w:rsidP="00691B8B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B8B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Ожирение II степени</w:t>
            </w:r>
          </w:p>
        </w:tc>
      </w:tr>
      <w:tr w:rsidR="00691B8B" w:rsidRPr="00691B8B" w:rsidTr="00691B8B">
        <w:trPr>
          <w:tblCellSpacing w:w="15" w:type="dxa"/>
        </w:trPr>
        <w:tc>
          <w:tcPr>
            <w:tcW w:w="0" w:type="auto"/>
            <w:tcBorders>
              <w:top w:val="single" w:sz="24" w:space="0" w:color="EEEEEE"/>
              <w:left w:val="single" w:sz="24" w:space="0" w:color="EEEEEE"/>
              <w:bottom w:val="single" w:sz="24" w:space="0" w:color="EEEEEE"/>
              <w:right w:val="single" w:sz="24" w:space="0" w:color="EEEEEE"/>
            </w:tcBorders>
            <w:tcMar>
              <w:top w:w="300" w:type="dxa"/>
              <w:left w:w="180" w:type="dxa"/>
              <w:bottom w:w="300" w:type="dxa"/>
              <w:right w:w="180" w:type="dxa"/>
            </w:tcMar>
            <w:vAlign w:val="bottom"/>
            <w:hideMark/>
          </w:tcPr>
          <w:p w:rsidR="00691B8B" w:rsidRPr="00691B8B" w:rsidRDefault="00691B8B" w:rsidP="00691B8B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B8B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более 40</w:t>
            </w:r>
          </w:p>
        </w:tc>
        <w:tc>
          <w:tcPr>
            <w:tcW w:w="0" w:type="auto"/>
            <w:tcBorders>
              <w:top w:val="single" w:sz="24" w:space="0" w:color="EEEEEE"/>
              <w:left w:val="single" w:sz="24" w:space="0" w:color="EEEEEE"/>
              <w:bottom w:val="single" w:sz="24" w:space="0" w:color="EEEEEE"/>
              <w:right w:val="single" w:sz="24" w:space="0" w:color="EEEEEE"/>
            </w:tcBorders>
            <w:tcMar>
              <w:top w:w="300" w:type="dxa"/>
              <w:left w:w="180" w:type="dxa"/>
              <w:bottom w:w="300" w:type="dxa"/>
              <w:right w:w="180" w:type="dxa"/>
            </w:tcMar>
            <w:vAlign w:val="bottom"/>
            <w:hideMark/>
          </w:tcPr>
          <w:p w:rsidR="00691B8B" w:rsidRPr="00691B8B" w:rsidRDefault="00691B8B" w:rsidP="00691B8B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B8B">
              <w:rPr>
                <w:rFonts w:ascii="inherit" w:eastAsia="Times New Roman" w:hAnsi="inherit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Ожирение III степени</w:t>
            </w:r>
          </w:p>
        </w:tc>
      </w:tr>
    </w:tbl>
    <w:p w:rsidR="00691B8B" w:rsidRPr="00691B8B" w:rsidRDefault="00691B8B" w:rsidP="00691B8B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Измерение окружности талии – простой способ определить, есть ли у вас избыточный висцеральный жир - внутренние жировые отложения вокруг сердца, почек, печени, органов пищеварения и поджелудочной железы. Его чрезмерное количество может увеличить риск развития заболеваний </w:t>
      </w:r>
      <w:proofErr w:type="gramStart"/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сердечно-сосудистой</w:t>
      </w:r>
      <w:proofErr w:type="gramEnd"/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системы, инсульта, диабета 2 типа.</w:t>
      </w:r>
    </w:p>
    <w:p w:rsidR="00691B8B" w:rsidRPr="00691B8B" w:rsidRDefault="00691B8B" w:rsidP="00691B8B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измерить окружность талии: найдите верхнюю часть бедренной кости и нижнюю часть ребер, спокойно выдохните, поместите измерительную ленту на середине между этими точками и оберните вокруг талии, проверьте результаты измерения.</w:t>
      </w:r>
    </w:p>
    <w:p w:rsidR="00691B8B" w:rsidRPr="00691B8B" w:rsidRDefault="00691B8B" w:rsidP="00691B8B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Независимо от ИМТ или роста попытайтесь сбросить вес, если талия: у </w:t>
      </w:r>
      <w:proofErr w:type="spellStart"/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мыжчин</w:t>
      </w:r>
      <w:proofErr w:type="spellEnd"/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более 94 см, у женщин – более 80 см. В случае более высоких показателей необходимо проконсультироваться с врачом.</w:t>
      </w:r>
    </w:p>
    <w:p w:rsidR="00691B8B" w:rsidRPr="00691B8B" w:rsidRDefault="00691B8B" w:rsidP="00691B8B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Соотношение талии и бедер характеризует вес, приходящийся на бёдра и ягодицы. Для расчёта измерьте окружность талии и бёдер, а затем разделите результаты измерения талии на результаты измерения бедер.</w:t>
      </w:r>
    </w:p>
    <w:p w:rsidR="00691B8B" w:rsidRPr="00691B8B" w:rsidRDefault="00691B8B" w:rsidP="00691B8B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данным Всемирной организации здравоохранения риск метаболических осложнений, таких как диабет типа 2, увеличивается, когда соотношение талия/бёдра у мужчины превышает показатель 0,9, а у женщины – больше 0,85.</w:t>
      </w:r>
    </w:p>
    <w:p w:rsidR="00691B8B" w:rsidRPr="00691B8B" w:rsidRDefault="00691B8B" w:rsidP="00691B8B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ВАЖНО ЗНАТЬ!</w:t>
      </w:r>
    </w:p>
    <w:p w:rsidR="00691B8B" w:rsidRPr="00691B8B" w:rsidRDefault="00691B8B" w:rsidP="00691B8B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7"/>
          <w:szCs w:val="27"/>
          <w:lang w:eastAsia="ru-RU"/>
        </w:rPr>
      </w:pPr>
      <w:r w:rsidRPr="00691B8B">
        <w:rPr>
          <w:rFonts w:ascii="inherit" w:eastAsia="Times New Roman" w:hAnsi="inherit" w:cs="Times New Roman"/>
          <w:b/>
          <w:bCs/>
          <w:i/>
          <w:iCs/>
          <w:color w:val="000000"/>
          <w:spacing w:val="-5"/>
          <w:sz w:val="27"/>
          <w:szCs w:val="27"/>
          <w:bdr w:val="none" w:sz="0" w:space="0" w:color="auto" w:frame="1"/>
          <w:lang w:eastAsia="ru-RU"/>
        </w:rPr>
        <w:t>Здоровое питание, адекватная состоянию физическая активность и отсутствие вредных привычек – лучшие составляющие здоровья! </w:t>
      </w:r>
    </w:p>
    <w:p w:rsidR="004E63FC" w:rsidRDefault="004E63FC"/>
    <w:sectPr w:rsidR="004E6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35A"/>
    <w:rsid w:val="003C135A"/>
    <w:rsid w:val="004E63FC"/>
    <w:rsid w:val="0069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91B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91B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91B8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91B8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91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91B8B"/>
    <w:rPr>
      <w:i/>
      <w:iCs/>
    </w:rPr>
  </w:style>
  <w:style w:type="character" w:styleId="a5">
    <w:name w:val="Hyperlink"/>
    <w:basedOn w:val="a0"/>
    <w:uiPriority w:val="99"/>
    <w:semiHidden/>
    <w:unhideWhenUsed/>
    <w:rsid w:val="00691B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91B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91B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91B8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91B8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91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91B8B"/>
    <w:rPr>
      <w:i/>
      <w:iCs/>
    </w:rPr>
  </w:style>
  <w:style w:type="character" w:styleId="a5">
    <w:name w:val="Hyperlink"/>
    <w:basedOn w:val="a0"/>
    <w:uiPriority w:val="99"/>
    <w:semiHidden/>
    <w:unhideWhenUsed/>
    <w:rsid w:val="00691B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4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9177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24" w:space="17" w:color="85C600"/>
                <w:bottom w:val="none" w:sz="0" w:space="0" w:color="auto"/>
                <w:right w:val="none" w:sz="0" w:space="31" w:color="auto"/>
              </w:divBdr>
            </w:div>
            <w:div w:id="1113593278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24" w:space="17" w:color="85C600"/>
                <w:bottom w:val="none" w:sz="0" w:space="0" w:color="auto"/>
                <w:right w:val="none" w:sz="0" w:space="31" w:color="auto"/>
              </w:divBdr>
            </w:div>
            <w:div w:id="693193121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24" w:space="17" w:color="85C600"/>
                <w:bottom w:val="none" w:sz="0" w:space="0" w:color="auto"/>
                <w:right w:val="none" w:sz="0" w:space="31" w:color="auto"/>
              </w:divBdr>
            </w:div>
            <w:div w:id="852569195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24" w:space="17" w:color="85C600"/>
                <w:bottom w:val="none" w:sz="0" w:space="0" w:color="auto"/>
                <w:right w:val="none" w:sz="0" w:space="31" w:color="auto"/>
              </w:divBdr>
            </w:div>
            <w:div w:id="328018802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24" w:space="17" w:color="85C600"/>
                <w:bottom w:val="none" w:sz="0" w:space="0" w:color="auto"/>
                <w:right w:val="none" w:sz="0" w:space="31" w:color="auto"/>
              </w:divBdr>
            </w:div>
          </w:divsChild>
        </w:div>
      </w:divsChild>
    </w:div>
    <w:div w:id="15557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xn----8sbehgcimb3cfabqj3b.xn--p1ai/healthy-nutrition/kak-izmerit-zdorov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1068</Words>
  <Characters>6092</Characters>
  <Application>Microsoft Office Word</Application>
  <DocSecurity>0</DocSecurity>
  <Lines>50</Lines>
  <Paragraphs>14</Paragraphs>
  <ScaleCrop>false</ScaleCrop>
  <Company>*</Company>
  <LinksUpToDate>false</LinksUpToDate>
  <CharactersWithSpaces>7146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2025-05-13T05:53:00Z</dcterms:created>
  <dcterms:modified xsi:type="dcterms:W3CDTF">2025-05-13T05:54:00Z</dcterms:modified>
</cp:coreProperties>
</file>